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06B" w:rsidRPr="004E306B" w:rsidRDefault="004E306B" w:rsidP="004E306B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ГОСТ Р 50597-93 Автомобильные дороги и улицы. Требования к эксплуатационному состоянию, допустимому по условиям обеспечения безопасности дорожного движения</w:t>
      </w:r>
    </w:p>
    <w:p w:rsidR="004E306B" w:rsidRPr="004E306B" w:rsidRDefault="004E306B" w:rsidP="004E306B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УДК 625.711.3:006.354                                                                                                  Группа Д22</w:t>
      </w:r>
    </w:p>
    <w:p w:rsidR="004E306B" w:rsidRPr="004E306B" w:rsidRDefault="004E306B" w:rsidP="004E306B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ГОСУДАРСТВЕННЫЙ СТАНДАРТ РОССИЙСКОЙ ФЕДЕРАЦИИ</w:t>
      </w:r>
    </w:p>
    <w:p w:rsidR="004E306B" w:rsidRPr="004E306B" w:rsidRDefault="004E306B" w:rsidP="004E306B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АВТОМОБИЛЬНЫЕ ДОРОГИ И УЛИЦЫ</w:t>
      </w:r>
    </w:p>
    <w:p w:rsidR="004E306B" w:rsidRPr="004E306B" w:rsidRDefault="004E306B" w:rsidP="004E306B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 xml:space="preserve">ТРЕБОВАНИЯ К ЭКСПЛУАТАЦИОННОМУ СОСТОЯНИЮ, </w:t>
      </w:r>
    </w:p>
    <w:p w:rsidR="004E306B" w:rsidRPr="004E306B" w:rsidRDefault="004E306B" w:rsidP="004E306B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ДОПУСТИМОМУ ПО УСЛОВИЯМ ОБЕСПЕЧЕНИЯ БЕЗОПАСНОСТИ ДОРОЖНОГО ДВИЖЕНИЯ</w:t>
      </w:r>
    </w:p>
    <w:p w:rsidR="004E306B" w:rsidRPr="004E306B" w:rsidRDefault="004E306B" w:rsidP="004E306B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 xml:space="preserve">  </w:t>
      </w:r>
    </w:p>
    <w:p w:rsidR="004E306B" w:rsidRPr="004E306B" w:rsidRDefault="004E306B" w:rsidP="004E306B">
      <w:pPr>
        <w:spacing w:after="0"/>
        <w:jc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proofErr w:type="gramStart"/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val="en-US" w:eastAsia="ru-RU"/>
        </w:rPr>
        <w:t>Automobile Roads and Streets.</w:t>
      </w:r>
      <w:proofErr w:type="gramEnd"/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val="en-US" w:eastAsia="ru-RU"/>
        </w:rPr>
        <w:t xml:space="preserve"> </w:t>
      </w:r>
      <w:proofErr w:type="gramStart"/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val="en-US" w:eastAsia="ru-RU"/>
        </w:rPr>
        <w:t>The Requirements to the Level of Maintenance.</w:t>
      </w:r>
      <w:proofErr w:type="gramEnd"/>
    </w:p>
    <w:p w:rsidR="004E306B" w:rsidRPr="004E306B" w:rsidRDefault="004E306B" w:rsidP="004E306B">
      <w:pPr>
        <w:spacing w:after="0"/>
        <w:jc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val="en-US" w:eastAsia="ru-RU"/>
        </w:rPr>
        <w:t>Satisfied the Traffic Safety</w:t>
      </w:r>
    </w:p>
    <w:p w:rsidR="004E306B" w:rsidRPr="004E306B" w:rsidRDefault="004E306B" w:rsidP="004E306B">
      <w:pPr>
        <w:spacing w:after="0"/>
        <w:jc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val="en-US" w:eastAsia="ru-RU"/>
        </w:rPr>
        <w:t> </w:t>
      </w:r>
    </w:p>
    <w:p w:rsidR="004E306B" w:rsidRPr="004E306B" w:rsidRDefault="004E306B" w:rsidP="004E306B">
      <w:pPr>
        <w:spacing w:after="0"/>
        <w:jc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ГОСТ</w:t>
      </w: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val="en-US" w:eastAsia="ru-RU"/>
        </w:rPr>
        <w:t xml:space="preserve"> </w:t>
      </w: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Р</w:t>
      </w: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val="en-US" w:eastAsia="ru-RU"/>
        </w:rPr>
        <w:t xml:space="preserve"> 50597-93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ОКП 25 100</w:t>
      </w:r>
    </w:p>
    <w:p w:rsidR="004E306B" w:rsidRPr="004E306B" w:rsidRDefault="004E306B" w:rsidP="004E306B">
      <w:pPr>
        <w:spacing w:after="0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Дата введения 1994-07-01</w:t>
      </w:r>
    </w:p>
    <w:p w:rsidR="004E306B" w:rsidRPr="004E306B" w:rsidRDefault="004E306B" w:rsidP="004E306B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hyperlink r:id="rId4" w:history="1">
        <w:r w:rsidRPr="004E306B">
          <w:rPr>
            <w:rFonts w:ascii="Arial" w:eastAsia="Times New Roman" w:hAnsi="Arial" w:cs="Arial"/>
            <w:b/>
            <w:bCs/>
            <w:color w:val="0000FF"/>
            <w:sz w:val="20"/>
            <w:lang w:eastAsia="ru-RU"/>
          </w:rPr>
          <w:t> </w:t>
        </w:r>
      </w:hyperlink>
    </w:p>
    <w:p w:rsidR="004E306B" w:rsidRPr="004E306B" w:rsidRDefault="004E306B" w:rsidP="004E306B">
      <w:pPr>
        <w:spacing w:after="0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Предисловие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1. Разработан Научно-исследовательским центром Государственной автомобильной инспекции Министерства внутренних дел Российской Федерации (НИЦ ГАИ МВД России), Научно-производственным объединением "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РосдорНИИ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>", Московским автомобильно-дорожным институтом, Государственным дорожным научно-исследовательским институтом "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СоюздорНИИ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>", Академией коммунального хозяйства им. К.Д. Памфилова, Министерством транспорта Российской Федерации.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2. Внесен Техническим комитетом по стандартизации ТК 278 "Безопасность дорожного движения".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3. Утвержден и введен в действие Постановлением Госстандарта России от 11.10.93 № 221.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 Введен впервые.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1. Область применения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Настоящий стандарт устанавливает 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дорог, улиц и дорог городов и других населенных пунктов, а также требования к эксплуатационному состоянию технических средств организации дорожного движения.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Все требования стандарта являются обязательными и направлены на обеспечение безопасности дорожного движения, сохранение жизни, здоровья и имущества населения, охрану окружающей среды.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Стандарт распространяется: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- до 01.01.95 на находящиеся в эксплуатации федеральные автомобильные дороги, магистральные дороги и улицы городов и других населенных пунктов;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- с 01.01.95 на все эксплуатируемые автомобильные дороги общего пользования с цементобетонным покрытием и любым покрытием из битумоминеральных смесей и на все дороги и улицы городов и других населенных пунктов.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Автомобильные дороги, дороги и улицы городов и других населенных пунктов по их транспортно-эксплуатационным характеристикам объединены в три группы: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группа А - автомобильные дороги с интенсивностью движения более 3000 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авт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>/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сут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>; в городах и населенных пунктах - магистральные дороги скоростного движения, магистральные улицы общегородского значения непрерывного движения;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группа Б - автомобильные дороги с интенсивностью движения от 1000 до 3000 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авт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>/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сут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>; в городах и населенных пунктах - магистральные дороги регулируемого движения, магистральные улицы общегородского значения регулируемого движения и районного значения;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группа В - автомобильные дороги с интенсивностью движения менее 1000 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авт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>/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сут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>; в городах и населенных пунктах - улицы и дороги местного значения;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категории улиц и дорог в городах и населенных пунктах - по 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СНиП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 2.07.01.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Установленные стандартом требования должны обеспечиваться организациями, в ведении которых находятся автомобильные дороги, а также улицы и дороги городов и других населенных пунктов.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В случае, когда эксплуатационное состояние дорог и улиц не отвечает требованиям настоящего стандарта, на них должны быть введены временные ограничения, обеспечивающие безопасность движения, вплоть до полного запрещения движения.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2. Нормативные ссылки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В настоящем стандарте использованы ссылки на следующие стандарты, строительные нормы и правила, инструкции: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- </w:t>
      </w:r>
      <w:hyperlink r:id="rId5" w:tooltip="ГОСТ 10807-78 Знаки дорожные. Общие технические условия" w:history="1">
        <w:r w:rsidRPr="004E306B">
          <w:rPr>
            <w:rFonts w:ascii="Arial" w:eastAsia="Times New Roman" w:hAnsi="Arial" w:cs="Arial"/>
            <w:color w:val="0000FF"/>
            <w:sz w:val="20"/>
            <w:lang w:eastAsia="ru-RU"/>
          </w:rPr>
          <w:t>ГОСТ 10807-78</w:t>
        </w:r>
      </w:hyperlink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 Знаки дорожные. Общие технические условия* 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 xml:space="preserve">_____________ 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 xml:space="preserve">* На территории Российской Федерации действует </w:t>
      </w:r>
      <w:hyperlink r:id="rId6" w:tooltip="ГОСТ Р 52290-2004 Технические средства организации дорожного движения. Знаки дорожные. Общие технические требования " w:history="1">
        <w:r w:rsidRPr="004E306B">
          <w:rPr>
            <w:rFonts w:ascii="Arial" w:eastAsia="Times New Roman" w:hAnsi="Arial" w:cs="Arial"/>
            <w:color w:val="0000FF"/>
            <w:sz w:val="20"/>
            <w:lang w:eastAsia="ru-RU"/>
          </w:rPr>
          <w:t>ГОСТ Р 52290-2004</w:t>
        </w:r>
      </w:hyperlink>
      <w:r w:rsidRPr="004E306B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 xml:space="preserve"> Технические средства организации дорожного движения. Знаки дорожные. Общие технические требования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- ГОСТ 13508-74 Разметка дорожная*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 xml:space="preserve">_____________ 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 xml:space="preserve">* На территории Российской Федерации действует </w:t>
      </w:r>
      <w:hyperlink r:id="rId7" w:tooltip="ГОСТ Р 51256-99 Технические средства организации дорожного движения. Разметка дорожная. Типы, основные параметры. Общие технические требования" w:history="1">
        <w:r w:rsidRPr="004E306B">
          <w:rPr>
            <w:rFonts w:ascii="Arial" w:eastAsia="Times New Roman" w:hAnsi="Arial" w:cs="Arial"/>
            <w:color w:val="0000FF"/>
            <w:sz w:val="20"/>
            <w:lang w:eastAsia="ru-RU"/>
          </w:rPr>
          <w:t>ГОСТ Р 51256-99</w:t>
        </w:r>
      </w:hyperlink>
      <w:r w:rsidRPr="004E306B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 xml:space="preserve"> Технические средства организации дорожного движения. Разметка дорожная. Типы, основные параметры. Общие технические требования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hyperlink r:id="rId8" w:tooltip="ГОСТ 23457-86 Технические средства организации дорожного движения. Правила применения" w:history="1">
        <w:r w:rsidRPr="004E306B">
          <w:rPr>
            <w:rFonts w:ascii="Arial" w:eastAsia="Times New Roman" w:hAnsi="Arial" w:cs="Arial"/>
            <w:color w:val="0000FF"/>
            <w:sz w:val="20"/>
            <w:lang w:eastAsia="ru-RU"/>
          </w:rPr>
          <w:t>ГОСТ 23457-86</w:t>
        </w:r>
      </w:hyperlink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 Технические средства организации дорожного движения. Правила применения* 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 xml:space="preserve">_____________ 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 xml:space="preserve">* На территории Российской Федерации действует </w:t>
      </w:r>
      <w:hyperlink r:id="rId9" w:tooltip="ГОСТ Р 52289-2004 Технические средства организации дорожного движения. Правила применения дорожных знаков, светофоров и разметки. Правила применения дорожных ограждений и направляющих устройств" w:history="1">
        <w:r w:rsidRPr="004E306B">
          <w:rPr>
            <w:rFonts w:ascii="Arial" w:eastAsia="Times New Roman" w:hAnsi="Arial" w:cs="Arial"/>
            <w:color w:val="0000FF"/>
            <w:sz w:val="20"/>
            <w:lang w:eastAsia="ru-RU"/>
          </w:rPr>
          <w:t>ГОСТ Р 52289-2004</w:t>
        </w:r>
      </w:hyperlink>
      <w:r w:rsidRPr="004E306B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 xml:space="preserve"> Технические средства организации дорожного движения. Правила применения дорожных знаков, светофоров и разметки. Правила применения дорожных ограждений и направляющих устройств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- ГОСТ 25695-91 Светофоры дорожные. Типы. Основные параметры*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 xml:space="preserve">_____________ 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 xml:space="preserve">* На территории Российской Федерации действует </w:t>
      </w:r>
      <w:hyperlink r:id="rId10" w:tooltip="ГОСТ Р 52282-2004 Технические средства организации дорожного движения. Светофоры дорожные. Типы, основные параметры, общие технические требования, методы испытаний" w:history="1">
        <w:r w:rsidRPr="004E306B">
          <w:rPr>
            <w:rFonts w:ascii="Arial" w:eastAsia="Times New Roman" w:hAnsi="Arial" w:cs="Arial"/>
            <w:color w:val="0000FF"/>
            <w:sz w:val="20"/>
            <w:lang w:eastAsia="ru-RU"/>
          </w:rPr>
          <w:t>ГОСТ Р 52282-2004</w:t>
        </w:r>
      </w:hyperlink>
      <w:r w:rsidRPr="004E306B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 xml:space="preserve"> Технические средства организации дорожного движения. Светофоры дорожные. Типы, основные параметры, общие технические требования, методы испытаний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- ГОСТ 26804-86 Ограждения дорожные металлические барьерного типа. Технические условия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СНиП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 2.05.02-85 Автомобильные дороги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СНиП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 2.07.01-89 Планировка и застройка городских и сельских поселений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СНиП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 3.06.03-85 Автомобильные дороги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- ВСН 24-88 Технические правила ремонта и содержания автомобильных дорог (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Минавтодор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 РСФСР)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- Инструкция по эксплуатации железнодорожных переездов (утверждена Министерством путей сообщения СССР 19.08.91, согласована Министерством автомобильных дорог РСФСР 17.09.90 и МВД СССР 12.02.91).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3. Требования к эксплуатационному состоянию автомобильных дорог, улиц и дорог городов и других населенных пунктов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Проезжая часть дорог и улиц, покрытия тротуаров, пешеходных и велосипедных дорожек, посадочных площадок, остановочных пунктов, а также поверхность разделительных полос, обочин и откосов земляного полотна должны быть чистыми, без посторонних предметов, не имеющих отношения к их обустройству.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3.1. Покрытие проезжей части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3.1.1. Покрытие проезжей части не должно иметь просадок, выбоин, иных повреждений, затрудняющих движение транспортных средств с разрешенной Правилами дорожного движения скоростью.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Предельно допустимые повреждения покрытия, а также сроки их ликвидации приведены в таблице 1.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Таблица 1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510"/>
        <w:gridCol w:w="2657"/>
        <w:gridCol w:w="2362"/>
      </w:tblGrid>
      <w:tr w:rsidR="004E306B" w:rsidRPr="004E306B" w:rsidTr="004E306B">
        <w:trPr>
          <w:cantSplit/>
          <w:jc w:val="center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Группа дорог и улиц по их транспортно-эксплуатационным характеристикам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Повреждения на 1000 м</w:t>
            </w:r>
            <w:r w:rsidRPr="004E306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2</w:t>
            </w: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покрытия, м</w:t>
            </w:r>
            <w:r w:rsidRPr="004E306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2</w:t>
            </w: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не более</w:t>
            </w:r>
          </w:p>
        </w:tc>
        <w:tc>
          <w:tcPr>
            <w:tcW w:w="2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Сроки ликвидации повреждений, </w:t>
            </w:r>
            <w:proofErr w:type="spellStart"/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сут</w:t>
            </w:r>
            <w:proofErr w:type="spellEnd"/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не более</w:t>
            </w:r>
          </w:p>
        </w:tc>
      </w:tr>
      <w:tr w:rsidR="004E306B" w:rsidRPr="004E306B" w:rsidTr="004E306B">
        <w:trPr>
          <w:jc w:val="center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 (1,5)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4E306B" w:rsidRPr="004E306B" w:rsidTr="004E306B">
        <w:trPr>
          <w:jc w:val="center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 (3,5)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4E306B" w:rsidRPr="004E306B" w:rsidTr="004E306B">
        <w:trPr>
          <w:jc w:val="center"/>
        </w:trPr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 (7,0)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4E306B" w:rsidRPr="004E306B" w:rsidTr="004E306B">
        <w:trPr>
          <w:cantSplit/>
          <w:jc w:val="center"/>
        </w:trPr>
        <w:tc>
          <w:tcPr>
            <w:tcW w:w="85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Примечания</w:t>
            </w:r>
          </w:p>
          <w:p w:rsidR="004E306B" w:rsidRPr="004E306B" w:rsidRDefault="004E306B" w:rsidP="004E306B">
            <w:pPr>
              <w:spacing w:after="0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В скобках приведены значения повреждений для весеннего периода.</w:t>
            </w:r>
          </w:p>
          <w:p w:rsidR="004E306B" w:rsidRPr="004E306B" w:rsidRDefault="004E306B" w:rsidP="004E306B">
            <w:pPr>
              <w:spacing w:after="0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 Сроки ликвидации повреждений указаны для строительного сезона, определяемого погодно-климатическими условиями, приведенными в </w:t>
            </w:r>
            <w:proofErr w:type="spellStart"/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СНиП</w:t>
            </w:r>
            <w:proofErr w:type="spellEnd"/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3.06.03 по конкретным видам работ.</w:t>
            </w:r>
          </w:p>
        </w:tc>
      </w:tr>
    </w:tbl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3.1.2. Предельные размеры отдельных просадок, выбоин и т.п. не должны превышать по длине 15 см, ширине - 60 см и глубине - 5 см.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3.1.3. Ровность покрытия проезжей части должна соответствовать требованиям, приведенным в таблице 2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lastRenderedPageBreak/>
        <w:t>3.1.4. Коэффициент сцепления покрытия должен обеспечивать безопасные условия движения с разрешенной Правилами дорожного движения скоростью и быть не менее 0,3 при его измерении шиной без рисунка протектора и 0,4 - шиной, имеющей рисунок протектора*.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____________________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* Значения коэффициента сцепления приведены для условий его измерения прибором ПКРС-2 (ТУ 78.1.003-83).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Таблица 2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952"/>
        <w:gridCol w:w="2952"/>
        <w:gridCol w:w="2625"/>
      </w:tblGrid>
      <w:tr w:rsidR="004E306B" w:rsidRPr="004E306B" w:rsidTr="004E306B">
        <w:trPr>
          <w:cantSplit/>
          <w:jc w:val="center"/>
        </w:trPr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Группа дорог и улиц по их </w:t>
            </w:r>
          </w:p>
        </w:tc>
        <w:tc>
          <w:tcPr>
            <w:tcW w:w="5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Состояние покрытия по ровности</w:t>
            </w:r>
          </w:p>
        </w:tc>
      </w:tr>
      <w:tr w:rsidR="004E306B" w:rsidRPr="004E306B" w:rsidTr="004E306B">
        <w:trPr>
          <w:cantSplit/>
          <w:jc w:val="center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транспортно-эксплуатационным характеристикам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Показатель ровности по прибору ПКРС-2, см/км, не более</w:t>
            </w:r>
          </w:p>
        </w:tc>
        <w:tc>
          <w:tcPr>
            <w:tcW w:w="2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Число просветов под 3-метровой рейкой, %, не более</w:t>
            </w:r>
          </w:p>
        </w:tc>
      </w:tr>
      <w:tr w:rsidR="004E306B" w:rsidRPr="004E306B" w:rsidTr="004E306B">
        <w:trPr>
          <w:cantSplit/>
          <w:jc w:val="center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4E306B" w:rsidRPr="004E306B" w:rsidTr="004E306B">
        <w:trPr>
          <w:cantSplit/>
          <w:jc w:val="center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</w:tr>
      <w:tr w:rsidR="004E306B" w:rsidRPr="004E306B" w:rsidTr="004E306B">
        <w:trPr>
          <w:cantSplit/>
          <w:jc w:val="center"/>
        </w:trPr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</w:tr>
      <w:tr w:rsidR="004E306B" w:rsidRPr="004E306B" w:rsidTr="004E306B">
        <w:trPr>
          <w:cantSplit/>
          <w:jc w:val="center"/>
        </w:trPr>
        <w:tc>
          <w:tcPr>
            <w:tcW w:w="85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Примечание - Число просветов подсчитывают по значениям, превышающим указанные в </w:t>
            </w:r>
            <w:proofErr w:type="spellStart"/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СНиП</w:t>
            </w:r>
            <w:proofErr w:type="spellEnd"/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3.06.03.</w:t>
            </w:r>
          </w:p>
        </w:tc>
      </w:tr>
    </w:tbl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3.1.5. Время, необходимое для устранения причин, снижающих сцепные качества покрытий в зависимости от вида работ, устанавливают с момента обнаружения этих причин, и оно не должно превышать значений, приведенных в таблице 3.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Таблица 3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428"/>
        <w:gridCol w:w="4101"/>
      </w:tblGrid>
      <w:tr w:rsidR="004E306B" w:rsidRPr="004E306B" w:rsidTr="004E306B">
        <w:trPr>
          <w:cantSplit/>
          <w:jc w:val="center"/>
        </w:trPr>
        <w:tc>
          <w:tcPr>
            <w:tcW w:w="4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повышению сцепных качеств покрытия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Время, необходимое для выполнения работ, </w:t>
            </w:r>
            <w:proofErr w:type="spellStart"/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сут</w:t>
            </w:r>
            <w:proofErr w:type="spellEnd"/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., не более</w:t>
            </w:r>
          </w:p>
        </w:tc>
      </w:tr>
      <w:tr w:rsidR="004E306B" w:rsidRPr="004E306B" w:rsidTr="004E306B">
        <w:trPr>
          <w:cantSplit/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Устранение скользкости покрытия, вызванной выпотеванием битума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4E306B" w:rsidRPr="004E306B" w:rsidTr="004E306B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Очистка покрытия от загрязнений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4E306B" w:rsidRPr="004E306B" w:rsidTr="004E306B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ind w:firstLine="7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 Повышение шероховатости покрытия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</w:tbl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3.1.6. Сроки ликвидации зимней скользкости и окончания снегоочистки для автомобильных дорог, а также улиц и дорог городов и других населенных пунктов с учетом их транспортно - эксплуатационных характеристик приведены в таблице 4.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Таблица 4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428"/>
        <w:gridCol w:w="4101"/>
      </w:tblGrid>
      <w:tr w:rsidR="004E306B" w:rsidRPr="004E306B" w:rsidTr="004E306B">
        <w:trPr>
          <w:cantSplit/>
          <w:jc w:val="center"/>
        </w:trPr>
        <w:tc>
          <w:tcPr>
            <w:tcW w:w="4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Группа дорог и улиц по их транспортно-эксплуатационным характеристикам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Нормативный срок ликвидации зимней скользкости и окончания снегоочистки, ч</w:t>
            </w:r>
          </w:p>
        </w:tc>
      </w:tr>
      <w:tr w:rsidR="004E306B" w:rsidRPr="004E306B" w:rsidTr="004E306B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4E306B" w:rsidRPr="004E306B" w:rsidTr="004E306B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4E306B" w:rsidRPr="004E306B" w:rsidTr="004E306B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4E306B" w:rsidRPr="004E306B" w:rsidTr="004E306B">
        <w:trPr>
          <w:cantSplit/>
          <w:jc w:val="center"/>
        </w:trPr>
        <w:tc>
          <w:tcPr>
            <w:tcW w:w="85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Примечание - Нормативный срок ликвидации зимней скользкости принимается с момента ее обнаружения до полной ликвидации, а окончание снегоочистки - с момента окончания снегопада или метели до момента завершения работ.</w:t>
            </w:r>
          </w:p>
        </w:tc>
      </w:tr>
    </w:tbl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3.1.7. На дорогах и улицах городов и других населенных пунктов снег с проезжей части следует убирать в лотки или на разделительную полосу и формировать в виде снежных валов с разрывами на ширину 2,0 - 2,5 м.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После очистки проезжей части снегоуборочные работы должны быть проведены на остановочных пунктах общественного транспорта, тротуарах и площадках для стоянки и остановки транспортных средств.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3.1.8. Формирование снежных валов не допускается: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- на пересечениях всех дорог и улиц в одном уровне и вблизи железнодорожных переездов в зоне треугольника видимости;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- ближе 5 м от пешеходного перехода;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- ближе 20 м от остановочного пункта общественного транспорта;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- на участках дорог, оборудованных транспортными ограждениями или повышенным бордюром;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- на тротуарах.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3.1.9. В городах и населенных пунктах уборку тротуаров и пешеходных дорожек следует осуществлять с учетом интенсивности движения пешеходов после окончания снегопада или метели в сроки, приведенные в таблице 5.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Таблица 5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428"/>
        <w:gridCol w:w="3486"/>
      </w:tblGrid>
      <w:tr w:rsidR="004E306B" w:rsidRPr="004E306B" w:rsidTr="004E306B">
        <w:trPr>
          <w:cantSplit/>
          <w:jc w:val="center"/>
        </w:trPr>
        <w:tc>
          <w:tcPr>
            <w:tcW w:w="4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Интенсивность движения пешеходов, чел./час</w:t>
            </w:r>
          </w:p>
        </w:tc>
        <w:tc>
          <w:tcPr>
            <w:tcW w:w="3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Время проведения работ, ч., не более</w:t>
            </w:r>
          </w:p>
        </w:tc>
      </w:tr>
      <w:tr w:rsidR="004E306B" w:rsidRPr="004E306B" w:rsidTr="004E306B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Св. 250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4E306B" w:rsidRPr="004E306B" w:rsidTr="004E306B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100 до 250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4E306B" w:rsidRPr="004E306B" w:rsidTr="004E306B">
        <w:trPr>
          <w:jc w:val="center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100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</w:tbl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3.1.10. Люки смотровых колодцев должны соответствовать требованиям ГОСТ 3634.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Не допускается отклонение крышки люка относительно уровня покрытия более 2,0 см.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3.1.11. Дождеприемники должны соответствовать требованиям ГОСТ 26008.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Не допускается отклонение решетки дождеприемника относительно уровня лотка более 3,0 см.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3.1.12. Устранение недостатков, указанных в п. п. 3.1.9 и 3.1.10, следует осуществлять в течение не более суток с момента их обнаружения.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Разрушенные крышки и решетки должны быть немедленно ограждены и обозначены соответствующими дорожными знаками. Их замена должна быть проведена в течение не более 3 ч.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3.1.13. Не допускается отклонение верха головки рельса трамвайных или железнодорожных путей, расположенных в пределах проезжей части, относительно покрытия более 2,0 см.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На железнодорожных переездах не допускается возвышение междурельсового настила над верхом рельсов более 3,0 см, а глубина неровностей в покрытии междурельсового пространства (настиле) не должна быть более 4,0 см.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Устранение указанных недостатков должно быть осуществлено в течение не более 2 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сут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>. с момента их обнаружения.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3.2. Обочины и разделительные полосы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3.2.1. Обочины и разделительные полосы, не отделенные от проезжей части бордюром, не должны быть ниже уровня прилегающей кромки проезжей части более чем на 4,0 см.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Возвышение обочины (разделительной полосы) над проезжей частью при отсутствии бордюра не допускается.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3.2.2. Состояние укрепительных полос по степени деформации и ровности их покрытия должно соответствовать значениям, установленным для покрытий проезжей части (п. п. 3.1.1 и 3.1.2).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Устранение дефектов укрепительной полосы следует осуществлять в течение не более 14 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сут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>. с момента обнаружения.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3.2.3. Повреждения грунтовых обочин (разделительных полос) не должны превышать значений, приведенных в таблице 6.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Таблица 6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794"/>
        <w:gridCol w:w="2506"/>
        <w:gridCol w:w="2229"/>
      </w:tblGrid>
      <w:tr w:rsidR="004E306B" w:rsidRPr="004E306B" w:rsidTr="004E306B">
        <w:trPr>
          <w:cantSplit/>
          <w:jc w:val="center"/>
        </w:trPr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Группа дорог и улиц по их транспортно-эксплуатационным характеристикам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Повреждения на 1000 м</w:t>
            </w:r>
            <w:r w:rsidRPr="004E306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2</w:t>
            </w: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покрытия м</w:t>
            </w:r>
            <w:r w:rsidRPr="004E306B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ru-RU"/>
              </w:rPr>
              <w:t>2</w:t>
            </w: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не более</w:t>
            </w:r>
          </w:p>
        </w:tc>
        <w:tc>
          <w:tcPr>
            <w:tcW w:w="2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Глубина повреждений, см, не более</w:t>
            </w:r>
          </w:p>
        </w:tc>
      </w:tr>
      <w:tr w:rsidR="004E306B" w:rsidRPr="004E306B" w:rsidTr="004E306B">
        <w:trPr>
          <w:jc w:val="center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</w:t>
            </w:r>
          </w:p>
        </w:tc>
      </w:tr>
      <w:tr w:rsidR="004E306B" w:rsidRPr="004E306B" w:rsidTr="004E306B">
        <w:trPr>
          <w:jc w:val="center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7,0</w:t>
            </w:r>
          </w:p>
        </w:tc>
      </w:tr>
      <w:tr w:rsidR="004E306B" w:rsidRPr="004E306B" w:rsidTr="004E306B">
        <w:trPr>
          <w:jc w:val="center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10,0</w:t>
            </w:r>
          </w:p>
        </w:tc>
      </w:tr>
    </w:tbl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3.3. Видимость в плане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3.3.1. На пересечениях автомобильных дорог в одном уровне при отсутствии застройки должно быть обеспечено расстояние видимости в соответствии с требованиями действующих строительных норм и правил.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3.3.2. На неохраняемых железнодорожных переездах водителям транспортных средств, находящимся на удалении не более 50 м от ближнего рельса, должна быть обеспечена видимость приближающегося с любой стороны поезда в соответствии с нормами таблицы 7.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Таблица 7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660"/>
        <w:gridCol w:w="1174"/>
        <w:gridCol w:w="1174"/>
        <w:gridCol w:w="1174"/>
        <w:gridCol w:w="1174"/>
        <w:gridCol w:w="1174"/>
      </w:tblGrid>
      <w:tr w:rsidR="004E306B" w:rsidRPr="004E306B" w:rsidTr="004E306B">
        <w:trPr>
          <w:cantSplit/>
          <w:jc w:val="center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Скорость движения поезда, км/ч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121-140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81-120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41-80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26-40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и менее</w:t>
            </w:r>
          </w:p>
        </w:tc>
      </w:tr>
      <w:tr w:rsidR="004E306B" w:rsidRPr="004E306B" w:rsidTr="004E306B">
        <w:trPr>
          <w:cantSplit/>
          <w:jc w:val="center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Расстояние видимости, м, не менее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</w:tr>
      <w:tr w:rsidR="004E306B" w:rsidRPr="004E306B" w:rsidTr="004E306B">
        <w:trPr>
          <w:cantSplit/>
          <w:jc w:val="center"/>
        </w:trPr>
        <w:tc>
          <w:tcPr>
            <w:tcW w:w="853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Примечание - Принимается скорость движения пассажирских поездов дальнего следования, а при их отсутствии - наибольшая из скоростей движения пригородных пассажирских поездов или товарных поездов с порожними вагонами.</w:t>
            </w:r>
          </w:p>
        </w:tc>
      </w:tr>
    </w:tbl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4. Требования к техническим средствам организации дорожного движения и оборудованию дорог и улиц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4.1. Дорожные знаки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lastRenderedPageBreak/>
        <w:t>4.1.1. Автомобильные дороги, а также улицы и дороги городов и других населенных пунктов должны быть оборудованы дорожными знаками, изготовленными по ГОСТ 10807 и размещенными по ГОСТ 23457 в соответствии с утвержденной в установленном порядке дислокацией.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4.1.2. Поверхность знаков должна быть чистой, без повреждений, затрудняющих их восприятие.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4.1.3. Для дорожных знаков с 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световозвращающей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 поверхностью в процессе их эксплуатации допускается снижение удельного коэффициента силы света (кд×лк-1×м-2) до не менее: 35 - для белого цвета, 20 - желтого, 6 - красного, 4 - зеленого, 2 - синего.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4.1.4. Средняя яркость элементов изображения дорожных знаков с внутренним освещением (кд×м-2) не должна быть меньше: 90 - для белого и желтого цветов, 20 - зеленого, 10 - красного, 5 - синего.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Яркость элементов черного цвета не должна превышать 4 кд×м-2.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4.1.5. Замену или восстановление поврежденных дорожных знаков (кроме знаков приоритета 2.1 - 2.7) следует осуществлять в течение 3 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сут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>. после обнаружения, а знаков приоритета - в течение суток.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4.1.6. Временно установленные знаки должны быть сняты в течение суток после устранения причин, вызвавших необходимость их установки.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4.2. Дорожная разметка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4.2.1. Разметку автомобильных дорог, а также улиц и дорог городов и других населенных пунктов следует выполнять по ГОСТ 13508 и наносить в соответствии с ГОСТ 23457 и утвержденными схемами.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4.2.2. Дорожная разметка в процессе эксплуатации должна быть хорошо различима в любое время суток (при условии отсутствия снега на покрытии).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4.2.3. Дорожная разметка должна быть восстановлена, если в процессе эксплуатации износ по площади (для продольной разметки измеряется на участке протяженностью 50 м) составляет более 50% при выполнении ее краской и более 25% - термопластичными массами.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4.2.4. Светотехнические параметры дорожной разметки в процессе эксплуатации должны отвечать следующим требованиям: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- коэффициент яркости должен быть не менее значений, приведенных в таблице 8;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Таблица 8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242"/>
        <w:gridCol w:w="2835"/>
        <w:gridCol w:w="4452"/>
      </w:tblGrid>
      <w:tr w:rsidR="004E306B" w:rsidRPr="004E306B" w:rsidTr="004E306B">
        <w:trPr>
          <w:cantSplit/>
          <w:jc w:val="center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72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Коэффициент яркости разметки, %</w:t>
            </w:r>
          </w:p>
        </w:tc>
      </w:tr>
      <w:tr w:rsidR="004E306B" w:rsidRPr="004E306B" w:rsidTr="004E306B">
        <w:trPr>
          <w:cantSplit/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обычных лакокрасочных и термопластичных материалов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 лакокрасочных и термопластичных материалов со </w:t>
            </w:r>
            <w:proofErr w:type="spellStart"/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световозвращающими</w:t>
            </w:r>
            <w:proofErr w:type="spellEnd"/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свойствами</w:t>
            </w:r>
          </w:p>
        </w:tc>
      </w:tr>
      <w:tr w:rsidR="004E306B" w:rsidRPr="004E306B" w:rsidTr="004E306B">
        <w:trPr>
          <w:cantSplit/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</w:tr>
      <w:tr w:rsidR="004E306B" w:rsidRPr="004E306B" w:rsidTr="004E306B">
        <w:trPr>
          <w:cantSplit/>
          <w:jc w:val="center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06B" w:rsidRPr="004E306B" w:rsidRDefault="004E306B" w:rsidP="004E306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E30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</w:tr>
    </w:tbl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- коэффициент силы света (мкд×лк-1×м-2) разметки, выполненной из 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световозвращающих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 материалов, должен быть не менее: 80 - для белого цвета, 48 - желтого.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4.2.5. Восстановление разметки следует проводить в соответствии с действующей технологией.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4.2.6. Коэффициент сцепления разметки должен быть не менее 0,75 значений коэффициента сцепления покрытия.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4.3. Дорожные светофоры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4.3.1. Светофоры должны соответствовать требованиям ГОСТ 25695, а их размещение и режим работы - требованиям ГОСТ 23457.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4.3.2. Отдельные детали светофора либо элементы его крепления не должны иметь видимых повреждений и разрушений.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Рассеиватель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 не должен иметь трещин и сколов.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Символы, наносимые на 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рассеиватели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>, должны распознаваться с расстояния не менее 50 м.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Отражатель не должен иметь разрушений и коррозии, вызывающих появление зон пониженной яркости, различимых с расстояния 50 м.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4.3.3. В процессе эксплуатации допускается снижение силы света сигнала светофора в осевом направлении не более чем на 30% значений, установленных по ГОСТ 25695.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4.3.4. Замену вышедшего из строя источника света следует осуществлять в течение суток с момента обнаружения неисправности, а поврежденной электромонтажной схемы в корпусе светофора или электрического кабеля - в течение 3 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сут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4.4. Дорожные ограждения и бортовой камень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4.4.1. Опасные для движения участки автомобильных дорог, улиц и дорог городов и других населенных пунктов, в том числе проходящие по мостам и путепроводам, должны быть оборудованы ограждениями в соответствии с ГОСТ 25804, ГОСТ 23457, 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СНиП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 2.05.02 и 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СНиП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 2.05.03.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4.4.2. Ограждения должны быть окрашены в соответствии с ГОСТ 13508. Не требуют окраски оцинкованные поверхности ограждений.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4.4.3. Поврежденные элементы ограждений подлежат восстановлению или замене в течение 5 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сут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>. после обнаружения дефектов.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4.4.4. Не допускаются к эксплуатации железобетонные стойки и балки ограждений с раскрытой сеткой трещин, сколами бетона до арматуры, а деревянные и металлические стойки и балки - с механическими повреждениями или уменьшенным расчетным поперечным сечением.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lastRenderedPageBreak/>
        <w:t>4.4.5. Отдельные бортовые камни подлежат замене, если их открытая поверхность имеет разрушения более чем на 20% площади или на поверхности имеются сколы глубиной более 3,0 см.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Не допускается отклонение бортового камня от его проектного положения.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4.5. Сигнальные столбики и маяки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4.5.1. Сигнальные столбики и маяки следует устанавливать в соответствии с требованиями ГОСТ 23457.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4.5.2. Сигнальные столбики и маяки не должны иметь видимых разрушений и деформаций и должны быть отчетливо видны в светлое время суток с расстояния не менее 100 м.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4.5.3. Сигнальные столбики и маяки должны иметь окраску, вертикальную разметку и 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световозвращатели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 в соответствии с требованиями ГОСТ 13508.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4.5.4. Поврежденные сигнальные столбики должны быть заменены в течение 5 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сут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>. после обнаружения повреждения.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4.5.5. Замену вышедшего из строя источника света или поврежденного элемента маяка следует осуществлять в течение суток с момента обнаружения неисправности.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4.6. Наружное освещение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4.6.1. Включение наружных осветительных установок следует проводить в вечерние сумерки при снижении естественной освещенности до 20 лк, а отключение - в утренние сумерки при естественной освещенности до 10 лк.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4.6.2. Переключение освещения транспортных тоннелей с дневного на ночной режим и обратно следует проводить при достижении естественной освещенности 100 лк.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4.6.3. Доля действующих светильников, работающих в вечернем и ночном режимах, должна составлять не менее 95%. При этом не допускается расположение неработающих светильников подряд, один за другим.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4.6.4. Допускается частичное ( до 50%) отключение наружного освещения в ночное время в случае, когда интенсивность движения пешеходов менее 40 чел./ч. и транспортных средств в обоих направлениях - менее 50 ед./ч.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4.6.5. Отказы в работе наружных осветительных установок, связанные с обрывом электрических проводов или повреждением опор, следует устранять немедленно после обнаружения.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5. Методы контроля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5.1. Сцепление и ровность покрытия следует оценивать приборами ПКРС, ППК-МАДИ-ВНИИБД, 3-метровой рейкой с клином в соответствии с прилагаемыми к ним инструкциями по эксплуатации.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5.2. Контроль линейных параметров, характеризующих техническое состояние дорог и улиц, следует осуществлять с помощью линейки или рулетки.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>Контроль других параметров, не имеющих количественной оценки, осуществляется визуально.</w:t>
      </w:r>
    </w:p>
    <w:p w:rsidR="004E306B" w:rsidRPr="004E306B" w:rsidRDefault="004E306B" w:rsidP="004E306B">
      <w:pPr>
        <w:spacing w:after="0"/>
        <w:ind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5.3. 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Свето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- и </w:t>
      </w:r>
      <w:proofErr w:type="spellStart"/>
      <w:r w:rsidRPr="004E306B">
        <w:rPr>
          <w:rFonts w:ascii="Arial" w:eastAsia="Times New Roman" w:hAnsi="Arial" w:cs="Arial"/>
          <w:sz w:val="20"/>
          <w:szCs w:val="20"/>
          <w:lang w:eastAsia="ru-RU"/>
        </w:rPr>
        <w:t>цветотехнические</w:t>
      </w:r>
      <w:proofErr w:type="spellEnd"/>
      <w:r w:rsidRPr="004E306B">
        <w:rPr>
          <w:rFonts w:ascii="Arial" w:eastAsia="Times New Roman" w:hAnsi="Arial" w:cs="Arial"/>
          <w:sz w:val="20"/>
          <w:szCs w:val="20"/>
          <w:lang w:eastAsia="ru-RU"/>
        </w:rPr>
        <w:t xml:space="preserve"> характеристики дорожной разметки следует определять по ГОСТ 13508, сигналов дорожных светофоров - по ГОСТ 25695, дорожных знаков - по ГОСТ 10807</w:t>
      </w:r>
    </w:p>
    <w:p w:rsidR="004549D1" w:rsidRDefault="004549D1"/>
    <w:sectPr w:rsidR="004549D1" w:rsidSect="004E306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06B"/>
    <w:rsid w:val="000004F2"/>
    <w:rsid w:val="0000348A"/>
    <w:rsid w:val="00004B2E"/>
    <w:rsid w:val="00014368"/>
    <w:rsid w:val="0001783E"/>
    <w:rsid w:val="0002302F"/>
    <w:rsid w:val="000242A4"/>
    <w:rsid w:val="00024B07"/>
    <w:rsid w:val="000269EB"/>
    <w:rsid w:val="00034399"/>
    <w:rsid w:val="00036524"/>
    <w:rsid w:val="00041F1E"/>
    <w:rsid w:val="00045D1C"/>
    <w:rsid w:val="000475AF"/>
    <w:rsid w:val="000547DE"/>
    <w:rsid w:val="000557C7"/>
    <w:rsid w:val="00055D86"/>
    <w:rsid w:val="00056457"/>
    <w:rsid w:val="00057EDC"/>
    <w:rsid w:val="00063550"/>
    <w:rsid w:val="00063BA4"/>
    <w:rsid w:val="00065429"/>
    <w:rsid w:val="0006713B"/>
    <w:rsid w:val="000731C6"/>
    <w:rsid w:val="000831AE"/>
    <w:rsid w:val="00084DB9"/>
    <w:rsid w:val="00084FEC"/>
    <w:rsid w:val="000852E8"/>
    <w:rsid w:val="000933BA"/>
    <w:rsid w:val="000961DB"/>
    <w:rsid w:val="000973E8"/>
    <w:rsid w:val="000B01EA"/>
    <w:rsid w:val="000B0AC1"/>
    <w:rsid w:val="000B3591"/>
    <w:rsid w:val="000B50A8"/>
    <w:rsid w:val="000B73AB"/>
    <w:rsid w:val="000C41C7"/>
    <w:rsid w:val="000C45E9"/>
    <w:rsid w:val="000C581B"/>
    <w:rsid w:val="000D066B"/>
    <w:rsid w:val="000D073D"/>
    <w:rsid w:val="000D0EA5"/>
    <w:rsid w:val="000D5101"/>
    <w:rsid w:val="000D5C3F"/>
    <w:rsid w:val="000D76D6"/>
    <w:rsid w:val="000F031D"/>
    <w:rsid w:val="000F0672"/>
    <w:rsid w:val="000F41DB"/>
    <w:rsid w:val="000F7E97"/>
    <w:rsid w:val="00102371"/>
    <w:rsid w:val="00103637"/>
    <w:rsid w:val="001071DE"/>
    <w:rsid w:val="00111507"/>
    <w:rsid w:val="001120C4"/>
    <w:rsid w:val="00112371"/>
    <w:rsid w:val="00112EC8"/>
    <w:rsid w:val="00115312"/>
    <w:rsid w:val="001175B5"/>
    <w:rsid w:val="0012559F"/>
    <w:rsid w:val="0013070C"/>
    <w:rsid w:val="00131074"/>
    <w:rsid w:val="0013449C"/>
    <w:rsid w:val="00134F07"/>
    <w:rsid w:val="00135803"/>
    <w:rsid w:val="001365BA"/>
    <w:rsid w:val="00137F4D"/>
    <w:rsid w:val="001435A8"/>
    <w:rsid w:val="00143DDD"/>
    <w:rsid w:val="00155633"/>
    <w:rsid w:val="00160454"/>
    <w:rsid w:val="00161A7F"/>
    <w:rsid w:val="00164ED6"/>
    <w:rsid w:val="001708BC"/>
    <w:rsid w:val="00173493"/>
    <w:rsid w:val="00182AA4"/>
    <w:rsid w:val="0018384F"/>
    <w:rsid w:val="001838A2"/>
    <w:rsid w:val="00186936"/>
    <w:rsid w:val="001906C8"/>
    <w:rsid w:val="00190E07"/>
    <w:rsid w:val="001927B1"/>
    <w:rsid w:val="00194BA4"/>
    <w:rsid w:val="00197514"/>
    <w:rsid w:val="001A5896"/>
    <w:rsid w:val="001B03D0"/>
    <w:rsid w:val="001B48AE"/>
    <w:rsid w:val="001C0BF3"/>
    <w:rsid w:val="001C506B"/>
    <w:rsid w:val="001D2D08"/>
    <w:rsid w:val="001D7FB4"/>
    <w:rsid w:val="001E262B"/>
    <w:rsid w:val="001E32A8"/>
    <w:rsid w:val="001F294E"/>
    <w:rsid w:val="001F738B"/>
    <w:rsid w:val="001F7589"/>
    <w:rsid w:val="00200D65"/>
    <w:rsid w:val="00204089"/>
    <w:rsid w:val="002121A2"/>
    <w:rsid w:val="002127B0"/>
    <w:rsid w:val="00213BB7"/>
    <w:rsid w:val="00216F9D"/>
    <w:rsid w:val="00217A72"/>
    <w:rsid w:val="0022164B"/>
    <w:rsid w:val="00225AB0"/>
    <w:rsid w:val="00232372"/>
    <w:rsid w:val="0023674C"/>
    <w:rsid w:val="0024020B"/>
    <w:rsid w:val="00240987"/>
    <w:rsid w:val="00240F16"/>
    <w:rsid w:val="002415B1"/>
    <w:rsid w:val="0024183D"/>
    <w:rsid w:val="00251CCF"/>
    <w:rsid w:val="0025220F"/>
    <w:rsid w:val="00252FB4"/>
    <w:rsid w:val="002624AA"/>
    <w:rsid w:val="00267C83"/>
    <w:rsid w:val="00270C08"/>
    <w:rsid w:val="00271CD9"/>
    <w:rsid w:val="0027603D"/>
    <w:rsid w:val="0027680E"/>
    <w:rsid w:val="00283586"/>
    <w:rsid w:val="00290912"/>
    <w:rsid w:val="00294C10"/>
    <w:rsid w:val="002A03DD"/>
    <w:rsid w:val="002A285F"/>
    <w:rsid w:val="002A2E14"/>
    <w:rsid w:val="002A52DD"/>
    <w:rsid w:val="002A5B35"/>
    <w:rsid w:val="002A69A7"/>
    <w:rsid w:val="002B02D4"/>
    <w:rsid w:val="002B12C7"/>
    <w:rsid w:val="002B3E0A"/>
    <w:rsid w:val="002B4053"/>
    <w:rsid w:val="002B4D8F"/>
    <w:rsid w:val="002B742D"/>
    <w:rsid w:val="002C0977"/>
    <w:rsid w:val="002C4561"/>
    <w:rsid w:val="002C61A3"/>
    <w:rsid w:val="002C6D6C"/>
    <w:rsid w:val="002D0F60"/>
    <w:rsid w:val="002D4CAF"/>
    <w:rsid w:val="002E3502"/>
    <w:rsid w:val="002F1425"/>
    <w:rsid w:val="002F1951"/>
    <w:rsid w:val="002F4784"/>
    <w:rsid w:val="002F5931"/>
    <w:rsid w:val="00301066"/>
    <w:rsid w:val="00301A30"/>
    <w:rsid w:val="00312E3B"/>
    <w:rsid w:val="0031595E"/>
    <w:rsid w:val="00316036"/>
    <w:rsid w:val="003204D8"/>
    <w:rsid w:val="00322876"/>
    <w:rsid w:val="00326814"/>
    <w:rsid w:val="00330379"/>
    <w:rsid w:val="00336620"/>
    <w:rsid w:val="0034010E"/>
    <w:rsid w:val="00351417"/>
    <w:rsid w:val="003522DD"/>
    <w:rsid w:val="00357006"/>
    <w:rsid w:val="00366749"/>
    <w:rsid w:val="0036762F"/>
    <w:rsid w:val="003700D7"/>
    <w:rsid w:val="003744EB"/>
    <w:rsid w:val="003760DB"/>
    <w:rsid w:val="00376C1F"/>
    <w:rsid w:val="00382F18"/>
    <w:rsid w:val="00385E7B"/>
    <w:rsid w:val="0038767F"/>
    <w:rsid w:val="00394427"/>
    <w:rsid w:val="003A02B2"/>
    <w:rsid w:val="003A1898"/>
    <w:rsid w:val="003A65FE"/>
    <w:rsid w:val="003A7DCD"/>
    <w:rsid w:val="003B1218"/>
    <w:rsid w:val="003B1409"/>
    <w:rsid w:val="003B20AD"/>
    <w:rsid w:val="003B3AC7"/>
    <w:rsid w:val="003B4BA8"/>
    <w:rsid w:val="003B57CE"/>
    <w:rsid w:val="003B59BB"/>
    <w:rsid w:val="003B5D87"/>
    <w:rsid w:val="003B5EB5"/>
    <w:rsid w:val="003B61D5"/>
    <w:rsid w:val="003C260E"/>
    <w:rsid w:val="003C31F8"/>
    <w:rsid w:val="003C3201"/>
    <w:rsid w:val="003D294A"/>
    <w:rsid w:val="003D4032"/>
    <w:rsid w:val="003D5222"/>
    <w:rsid w:val="003E13BD"/>
    <w:rsid w:val="003E54EC"/>
    <w:rsid w:val="003F04DD"/>
    <w:rsid w:val="003F0F32"/>
    <w:rsid w:val="003F19D5"/>
    <w:rsid w:val="003F2B58"/>
    <w:rsid w:val="003F2BA0"/>
    <w:rsid w:val="003F55D7"/>
    <w:rsid w:val="003F6A7D"/>
    <w:rsid w:val="003F76B4"/>
    <w:rsid w:val="004011AC"/>
    <w:rsid w:val="00412C7A"/>
    <w:rsid w:val="004143F6"/>
    <w:rsid w:val="00416F06"/>
    <w:rsid w:val="0042045F"/>
    <w:rsid w:val="00421257"/>
    <w:rsid w:val="00421E2B"/>
    <w:rsid w:val="004234CF"/>
    <w:rsid w:val="00423916"/>
    <w:rsid w:val="00426EBE"/>
    <w:rsid w:val="004277D4"/>
    <w:rsid w:val="00430EE8"/>
    <w:rsid w:val="00431D05"/>
    <w:rsid w:val="004328DC"/>
    <w:rsid w:val="004351D6"/>
    <w:rsid w:val="00441E66"/>
    <w:rsid w:val="00442577"/>
    <w:rsid w:val="00445C2C"/>
    <w:rsid w:val="0045123D"/>
    <w:rsid w:val="004549D1"/>
    <w:rsid w:val="00457185"/>
    <w:rsid w:val="00461BFB"/>
    <w:rsid w:val="00461C12"/>
    <w:rsid w:val="004624CF"/>
    <w:rsid w:val="00466668"/>
    <w:rsid w:val="00470CCF"/>
    <w:rsid w:val="00474EF6"/>
    <w:rsid w:val="00475EC1"/>
    <w:rsid w:val="004767AE"/>
    <w:rsid w:val="0047695B"/>
    <w:rsid w:val="00480DCE"/>
    <w:rsid w:val="004841D4"/>
    <w:rsid w:val="00484D12"/>
    <w:rsid w:val="00492C46"/>
    <w:rsid w:val="00493EF1"/>
    <w:rsid w:val="004964AD"/>
    <w:rsid w:val="004A03C0"/>
    <w:rsid w:val="004A14D3"/>
    <w:rsid w:val="004A24FB"/>
    <w:rsid w:val="004A2BD6"/>
    <w:rsid w:val="004A4E06"/>
    <w:rsid w:val="004A51D3"/>
    <w:rsid w:val="004A5C49"/>
    <w:rsid w:val="004A6E1A"/>
    <w:rsid w:val="004A6F6C"/>
    <w:rsid w:val="004B382B"/>
    <w:rsid w:val="004B5715"/>
    <w:rsid w:val="004B74D6"/>
    <w:rsid w:val="004B76FE"/>
    <w:rsid w:val="004C0588"/>
    <w:rsid w:val="004C0F1D"/>
    <w:rsid w:val="004C1099"/>
    <w:rsid w:val="004C123B"/>
    <w:rsid w:val="004C1B6C"/>
    <w:rsid w:val="004C38DB"/>
    <w:rsid w:val="004C6BB0"/>
    <w:rsid w:val="004D0752"/>
    <w:rsid w:val="004D66F5"/>
    <w:rsid w:val="004E258A"/>
    <w:rsid w:val="004E306B"/>
    <w:rsid w:val="004E46DE"/>
    <w:rsid w:val="004F0354"/>
    <w:rsid w:val="004F076C"/>
    <w:rsid w:val="004F10C5"/>
    <w:rsid w:val="004F16E5"/>
    <w:rsid w:val="004F1D97"/>
    <w:rsid w:val="004F45D9"/>
    <w:rsid w:val="0050332A"/>
    <w:rsid w:val="00503C29"/>
    <w:rsid w:val="00504E60"/>
    <w:rsid w:val="005073B0"/>
    <w:rsid w:val="00510713"/>
    <w:rsid w:val="005121E4"/>
    <w:rsid w:val="00514E14"/>
    <w:rsid w:val="00517020"/>
    <w:rsid w:val="00521861"/>
    <w:rsid w:val="00521BED"/>
    <w:rsid w:val="005226EF"/>
    <w:rsid w:val="005236D8"/>
    <w:rsid w:val="00525312"/>
    <w:rsid w:val="00525539"/>
    <w:rsid w:val="00532F94"/>
    <w:rsid w:val="00537AA3"/>
    <w:rsid w:val="00540411"/>
    <w:rsid w:val="00544C4A"/>
    <w:rsid w:val="005516FB"/>
    <w:rsid w:val="00552DFB"/>
    <w:rsid w:val="005547AB"/>
    <w:rsid w:val="005608E7"/>
    <w:rsid w:val="005662D2"/>
    <w:rsid w:val="00580288"/>
    <w:rsid w:val="00580829"/>
    <w:rsid w:val="00580DC4"/>
    <w:rsid w:val="00584D45"/>
    <w:rsid w:val="00586AB8"/>
    <w:rsid w:val="00590E13"/>
    <w:rsid w:val="005922BF"/>
    <w:rsid w:val="00592CAA"/>
    <w:rsid w:val="005932E1"/>
    <w:rsid w:val="005A04C0"/>
    <w:rsid w:val="005A0B48"/>
    <w:rsid w:val="005A1ECA"/>
    <w:rsid w:val="005A3E6C"/>
    <w:rsid w:val="005A5270"/>
    <w:rsid w:val="005B21FE"/>
    <w:rsid w:val="005B2544"/>
    <w:rsid w:val="005C0F21"/>
    <w:rsid w:val="005C3A4D"/>
    <w:rsid w:val="005C4AF8"/>
    <w:rsid w:val="005C4C27"/>
    <w:rsid w:val="005C5DD8"/>
    <w:rsid w:val="005D2793"/>
    <w:rsid w:val="005D4877"/>
    <w:rsid w:val="005E7727"/>
    <w:rsid w:val="005F0997"/>
    <w:rsid w:val="005F0AEC"/>
    <w:rsid w:val="005F12E5"/>
    <w:rsid w:val="005F2DEB"/>
    <w:rsid w:val="005F5469"/>
    <w:rsid w:val="005F6694"/>
    <w:rsid w:val="006014A2"/>
    <w:rsid w:val="00601807"/>
    <w:rsid w:val="00602754"/>
    <w:rsid w:val="006046CB"/>
    <w:rsid w:val="006053D4"/>
    <w:rsid w:val="006056E5"/>
    <w:rsid w:val="006127F9"/>
    <w:rsid w:val="0061537F"/>
    <w:rsid w:val="006170FC"/>
    <w:rsid w:val="00625F5A"/>
    <w:rsid w:val="00626E73"/>
    <w:rsid w:val="00630C24"/>
    <w:rsid w:val="0063176A"/>
    <w:rsid w:val="00631C8A"/>
    <w:rsid w:val="00634CBC"/>
    <w:rsid w:val="00635B49"/>
    <w:rsid w:val="00646671"/>
    <w:rsid w:val="00647C7E"/>
    <w:rsid w:val="00650BB2"/>
    <w:rsid w:val="006565CE"/>
    <w:rsid w:val="006605F6"/>
    <w:rsid w:val="00661279"/>
    <w:rsid w:val="00662E0D"/>
    <w:rsid w:val="00664709"/>
    <w:rsid w:val="00664E6D"/>
    <w:rsid w:val="00666993"/>
    <w:rsid w:val="006707D0"/>
    <w:rsid w:val="00670F37"/>
    <w:rsid w:val="00672444"/>
    <w:rsid w:val="0067311E"/>
    <w:rsid w:val="0067458E"/>
    <w:rsid w:val="00676847"/>
    <w:rsid w:val="00677CFB"/>
    <w:rsid w:val="0068187E"/>
    <w:rsid w:val="00685237"/>
    <w:rsid w:val="00690DD6"/>
    <w:rsid w:val="0069357F"/>
    <w:rsid w:val="00694F4D"/>
    <w:rsid w:val="00696DA2"/>
    <w:rsid w:val="006A2100"/>
    <w:rsid w:val="006A5FD1"/>
    <w:rsid w:val="006B06FB"/>
    <w:rsid w:val="006B0A72"/>
    <w:rsid w:val="006B33FC"/>
    <w:rsid w:val="006B476D"/>
    <w:rsid w:val="006B5050"/>
    <w:rsid w:val="006B57FF"/>
    <w:rsid w:val="006B797B"/>
    <w:rsid w:val="006C4D2E"/>
    <w:rsid w:val="006C7B67"/>
    <w:rsid w:val="006D23C4"/>
    <w:rsid w:val="006D3278"/>
    <w:rsid w:val="006D61CB"/>
    <w:rsid w:val="006D6CE7"/>
    <w:rsid w:val="006E0D75"/>
    <w:rsid w:val="006E3509"/>
    <w:rsid w:val="006E620F"/>
    <w:rsid w:val="006F12A4"/>
    <w:rsid w:val="006F3885"/>
    <w:rsid w:val="006F7EF8"/>
    <w:rsid w:val="00703F4F"/>
    <w:rsid w:val="0070414C"/>
    <w:rsid w:val="00711EE3"/>
    <w:rsid w:val="007141B9"/>
    <w:rsid w:val="00722886"/>
    <w:rsid w:val="007242FB"/>
    <w:rsid w:val="00731A88"/>
    <w:rsid w:val="00733F6D"/>
    <w:rsid w:val="007360AA"/>
    <w:rsid w:val="007363F1"/>
    <w:rsid w:val="00736ABB"/>
    <w:rsid w:val="007419BF"/>
    <w:rsid w:val="00745651"/>
    <w:rsid w:val="007522E8"/>
    <w:rsid w:val="00754698"/>
    <w:rsid w:val="0075509C"/>
    <w:rsid w:val="00755325"/>
    <w:rsid w:val="00755D83"/>
    <w:rsid w:val="00755F90"/>
    <w:rsid w:val="0075615F"/>
    <w:rsid w:val="007564DD"/>
    <w:rsid w:val="0076256C"/>
    <w:rsid w:val="007635B0"/>
    <w:rsid w:val="007645C9"/>
    <w:rsid w:val="007657D6"/>
    <w:rsid w:val="00770829"/>
    <w:rsid w:val="00773BFA"/>
    <w:rsid w:val="00774FA9"/>
    <w:rsid w:val="00776ED0"/>
    <w:rsid w:val="007775DB"/>
    <w:rsid w:val="00783CBC"/>
    <w:rsid w:val="00784CD4"/>
    <w:rsid w:val="00785719"/>
    <w:rsid w:val="007938CE"/>
    <w:rsid w:val="00796DD8"/>
    <w:rsid w:val="00796E78"/>
    <w:rsid w:val="007A0F54"/>
    <w:rsid w:val="007A1F42"/>
    <w:rsid w:val="007A27A8"/>
    <w:rsid w:val="007A681A"/>
    <w:rsid w:val="007A76E5"/>
    <w:rsid w:val="007B03A5"/>
    <w:rsid w:val="007C2175"/>
    <w:rsid w:val="007C2F3B"/>
    <w:rsid w:val="007C3A23"/>
    <w:rsid w:val="007C3C57"/>
    <w:rsid w:val="007C53F5"/>
    <w:rsid w:val="007D59DE"/>
    <w:rsid w:val="007E551F"/>
    <w:rsid w:val="007F067D"/>
    <w:rsid w:val="007F3B88"/>
    <w:rsid w:val="007F7156"/>
    <w:rsid w:val="007F7C1C"/>
    <w:rsid w:val="008044BB"/>
    <w:rsid w:val="00806D20"/>
    <w:rsid w:val="008078D8"/>
    <w:rsid w:val="00820D17"/>
    <w:rsid w:val="00821F5A"/>
    <w:rsid w:val="00830F36"/>
    <w:rsid w:val="00831B16"/>
    <w:rsid w:val="00833FD0"/>
    <w:rsid w:val="008352D9"/>
    <w:rsid w:val="008372C6"/>
    <w:rsid w:val="00843510"/>
    <w:rsid w:val="008475CB"/>
    <w:rsid w:val="008510FE"/>
    <w:rsid w:val="00853AB2"/>
    <w:rsid w:val="00853EF6"/>
    <w:rsid w:val="00854FC8"/>
    <w:rsid w:val="00855586"/>
    <w:rsid w:val="008579DC"/>
    <w:rsid w:val="008605F4"/>
    <w:rsid w:val="00861266"/>
    <w:rsid w:val="008658DA"/>
    <w:rsid w:val="0086748C"/>
    <w:rsid w:val="0086785B"/>
    <w:rsid w:val="00875E82"/>
    <w:rsid w:val="00876739"/>
    <w:rsid w:val="0088648D"/>
    <w:rsid w:val="008914A9"/>
    <w:rsid w:val="00897908"/>
    <w:rsid w:val="008A08D5"/>
    <w:rsid w:val="008A61B4"/>
    <w:rsid w:val="008B16EE"/>
    <w:rsid w:val="008B3CFD"/>
    <w:rsid w:val="008B48A8"/>
    <w:rsid w:val="008B5F5A"/>
    <w:rsid w:val="008B6F1B"/>
    <w:rsid w:val="008C3C2B"/>
    <w:rsid w:val="008C74E7"/>
    <w:rsid w:val="008C7618"/>
    <w:rsid w:val="008D082D"/>
    <w:rsid w:val="008D0880"/>
    <w:rsid w:val="008D2A58"/>
    <w:rsid w:val="008D7A7D"/>
    <w:rsid w:val="008E0AFE"/>
    <w:rsid w:val="008E4F92"/>
    <w:rsid w:val="008E514B"/>
    <w:rsid w:val="008E6E36"/>
    <w:rsid w:val="008F007F"/>
    <w:rsid w:val="008F3186"/>
    <w:rsid w:val="008F5A45"/>
    <w:rsid w:val="008F6FAA"/>
    <w:rsid w:val="009012DE"/>
    <w:rsid w:val="00903AE7"/>
    <w:rsid w:val="00911EB7"/>
    <w:rsid w:val="00912E84"/>
    <w:rsid w:val="00912F5D"/>
    <w:rsid w:val="00917383"/>
    <w:rsid w:val="009205CB"/>
    <w:rsid w:val="00920C4A"/>
    <w:rsid w:val="00922718"/>
    <w:rsid w:val="009251C0"/>
    <w:rsid w:val="009269C5"/>
    <w:rsid w:val="00931D25"/>
    <w:rsid w:val="009415B7"/>
    <w:rsid w:val="009458D8"/>
    <w:rsid w:val="00950F84"/>
    <w:rsid w:val="009519F0"/>
    <w:rsid w:val="00952C6B"/>
    <w:rsid w:val="0095328D"/>
    <w:rsid w:val="00953680"/>
    <w:rsid w:val="00955E0A"/>
    <w:rsid w:val="00960368"/>
    <w:rsid w:val="0097203E"/>
    <w:rsid w:val="009746B3"/>
    <w:rsid w:val="00981B3C"/>
    <w:rsid w:val="0098627B"/>
    <w:rsid w:val="0099055A"/>
    <w:rsid w:val="00992A75"/>
    <w:rsid w:val="00992C29"/>
    <w:rsid w:val="0099314E"/>
    <w:rsid w:val="0099345A"/>
    <w:rsid w:val="009937A4"/>
    <w:rsid w:val="00995372"/>
    <w:rsid w:val="0099615F"/>
    <w:rsid w:val="009A098F"/>
    <w:rsid w:val="009A3C8A"/>
    <w:rsid w:val="009B1E3A"/>
    <w:rsid w:val="009B22B5"/>
    <w:rsid w:val="009C239E"/>
    <w:rsid w:val="009C29EA"/>
    <w:rsid w:val="009C5215"/>
    <w:rsid w:val="009D1291"/>
    <w:rsid w:val="009D324E"/>
    <w:rsid w:val="009D6B7F"/>
    <w:rsid w:val="009E2533"/>
    <w:rsid w:val="009F4DA4"/>
    <w:rsid w:val="009F51ED"/>
    <w:rsid w:val="009F5F7C"/>
    <w:rsid w:val="009F68DC"/>
    <w:rsid w:val="009F7F2B"/>
    <w:rsid w:val="00A0050C"/>
    <w:rsid w:val="00A006A5"/>
    <w:rsid w:val="00A079D3"/>
    <w:rsid w:val="00A10FED"/>
    <w:rsid w:val="00A16374"/>
    <w:rsid w:val="00A1696F"/>
    <w:rsid w:val="00A16DB3"/>
    <w:rsid w:val="00A17C1A"/>
    <w:rsid w:val="00A207FC"/>
    <w:rsid w:val="00A210C1"/>
    <w:rsid w:val="00A213B1"/>
    <w:rsid w:val="00A25A96"/>
    <w:rsid w:val="00A30632"/>
    <w:rsid w:val="00A32807"/>
    <w:rsid w:val="00A4005E"/>
    <w:rsid w:val="00A42EBA"/>
    <w:rsid w:val="00A451F4"/>
    <w:rsid w:val="00A45E86"/>
    <w:rsid w:val="00A5233E"/>
    <w:rsid w:val="00A5619B"/>
    <w:rsid w:val="00A57910"/>
    <w:rsid w:val="00A6791F"/>
    <w:rsid w:val="00A70295"/>
    <w:rsid w:val="00A7129D"/>
    <w:rsid w:val="00A71D19"/>
    <w:rsid w:val="00A72E73"/>
    <w:rsid w:val="00A80F14"/>
    <w:rsid w:val="00A8153E"/>
    <w:rsid w:val="00A84A19"/>
    <w:rsid w:val="00A863F6"/>
    <w:rsid w:val="00A90A7C"/>
    <w:rsid w:val="00AA2CB5"/>
    <w:rsid w:val="00AA5A8A"/>
    <w:rsid w:val="00AA7B90"/>
    <w:rsid w:val="00AB0849"/>
    <w:rsid w:val="00AB3871"/>
    <w:rsid w:val="00AC1E8A"/>
    <w:rsid w:val="00AC338F"/>
    <w:rsid w:val="00AC4B0F"/>
    <w:rsid w:val="00AC7442"/>
    <w:rsid w:val="00AD1C41"/>
    <w:rsid w:val="00AD2C34"/>
    <w:rsid w:val="00AD2EB0"/>
    <w:rsid w:val="00AD6897"/>
    <w:rsid w:val="00AE23C5"/>
    <w:rsid w:val="00AE6E26"/>
    <w:rsid w:val="00AE720E"/>
    <w:rsid w:val="00AE7626"/>
    <w:rsid w:val="00AF1A27"/>
    <w:rsid w:val="00AF6D56"/>
    <w:rsid w:val="00B00074"/>
    <w:rsid w:val="00B00483"/>
    <w:rsid w:val="00B046CB"/>
    <w:rsid w:val="00B07E95"/>
    <w:rsid w:val="00B12891"/>
    <w:rsid w:val="00B17F8D"/>
    <w:rsid w:val="00B20E97"/>
    <w:rsid w:val="00B2250B"/>
    <w:rsid w:val="00B2422E"/>
    <w:rsid w:val="00B257BD"/>
    <w:rsid w:val="00B263C0"/>
    <w:rsid w:val="00B31D42"/>
    <w:rsid w:val="00B4387F"/>
    <w:rsid w:val="00B43E6C"/>
    <w:rsid w:val="00B451C8"/>
    <w:rsid w:val="00B50B72"/>
    <w:rsid w:val="00B51D88"/>
    <w:rsid w:val="00B52FB2"/>
    <w:rsid w:val="00B60E3C"/>
    <w:rsid w:val="00B62121"/>
    <w:rsid w:val="00B66FD9"/>
    <w:rsid w:val="00B67F0B"/>
    <w:rsid w:val="00B70FC7"/>
    <w:rsid w:val="00B73DB6"/>
    <w:rsid w:val="00B76108"/>
    <w:rsid w:val="00BA214A"/>
    <w:rsid w:val="00BA2632"/>
    <w:rsid w:val="00BA3ABF"/>
    <w:rsid w:val="00BA5ABA"/>
    <w:rsid w:val="00BA7334"/>
    <w:rsid w:val="00BA7AAF"/>
    <w:rsid w:val="00BA7EC8"/>
    <w:rsid w:val="00BB6D3F"/>
    <w:rsid w:val="00BC18A3"/>
    <w:rsid w:val="00BD0035"/>
    <w:rsid w:val="00BD0EAA"/>
    <w:rsid w:val="00BD1609"/>
    <w:rsid w:val="00BD17F6"/>
    <w:rsid w:val="00BD1DC8"/>
    <w:rsid w:val="00BD260F"/>
    <w:rsid w:val="00BD2954"/>
    <w:rsid w:val="00BD4B3F"/>
    <w:rsid w:val="00BE27C7"/>
    <w:rsid w:val="00BE3029"/>
    <w:rsid w:val="00BF13CB"/>
    <w:rsid w:val="00BF39E2"/>
    <w:rsid w:val="00BF4B1D"/>
    <w:rsid w:val="00C014A0"/>
    <w:rsid w:val="00C020EF"/>
    <w:rsid w:val="00C0243D"/>
    <w:rsid w:val="00C03188"/>
    <w:rsid w:val="00C04945"/>
    <w:rsid w:val="00C07E74"/>
    <w:rsid w:val="00C21A8B"/>
    <w:rsid w:val="00C26487"/>
    <w:rsid w:val="00C354DB"/>
    <w:rsid w:val="00C35990"/>
    <w:rsid w:val="00C368A7"/>
    <w:rsid w:val="00C42E68"/>
    <w:rsid w:val="00C42FDC"/>
    <w:rsid w:val="00C5405A"/>
    <w:rsid w:val="00C5527D"/>
    <w:rsid w:val="00C55FAC"/>
    <w:rsid w:val="00C6559E"/>
    <w:rsid w:val="00C66B40"/>
    <w:rsid w:val="00C74797"/>
    <w:rsid w:val="00C75EA8"/>
    <w:rsid w:val="00C81484"/>
    <w:rsid w:val="00C84B12"/>
    <w:rsid w:val="00C8540F"/>
    <w:rsid w:val="00C869E1"/>
    <w:rsid w:val="00C86CDC"/>
    <w:rsid w:val="00C87C1F"/>
    <w:rsid w:val="00C902C5"/>
    <w:rsid w:val="00C95FDD"/>
    <w:rsid w:val="00C9741E"/>
    <w:rsid w:val="00CA12D1"/>
    <w:rsid w:val="00CA5845"/>
    <w:rsid w:val="00CB0885"/>
    <w:rsid w:val="00CB1E08"/>
    <w:rsid w:val="00CB26E6"/>
    <w:rsid w:val="00CB77C0"/>
    <w:rsid w:val="00CC0A5D"/>
    <w:rsid w:val="00CC4E63"/>
    <w:rsid w:val="00CC5DB7"/>
    <w:rsid w:val="00CC67B0"/>
    <w:rsid w:val="00CC7F11"/>
    <w:rsid w:val="00CD354A"/>
    <w:rsid w:val="00CE15ED"/>
    <w:rsid w:val="00CE38D3"/>
    <w:rsid w:val="00CE7258"/>
    <w:rsid w:val="00CE7A45"/>
    <w:rsid w:val="00CF0713"/>
    <w:rsid w:val="00CF43F2"/>
    <w:rsid w:val="00D01025"/>
    <w:rsid w:val="00D03561"/>
    <w:rsid w:val="00D11B3D"/>
    <w:rsid w:val="00D11C17"/>
    <w:rsid w:val="00D13D38"/>
    <w:rsid w:val="00D1522C"/>
    <w:rsid w:val="00D1672C"/>
    <w:rsid w:val="00D24876"/>
    <w:rsid w:val="00D24E6C"/>
    <w:rsid w:val="00D25B49"/>
    <w:rsid w:val="00D26A36"/>
    <w:rsid w:val="00D30A05"/>
    <w:rsid w:val="00D30C0C"/>
    <w:rsid w:val="00D32987"/>
    <w:rsid w:val="00D36528"/>
    <w:rsid w:val="00D44B42"/>
    <w:rsid w:val="00D54493"/>
    <w:rsid w:val="00D62687"/>
    <w:rsid w:val="00D6488D"/>
    <w:rsid w:val="00D6682D"/>
    <w:rsid w:val="00D710BD"/>
    <w:rsid w:val="00D7265A"/>
    <w:rsid w:val="00D7291E"/>
    <w:rsid w:val="00D73AED"/>
    <w:rsid w:val="00D81D92"/>
    <w:rsid w:val="00D83BEE"/>
    <w:rsid w:val="00D85384"/>
    <w:rsid w:val="00D876DC"/>
    <w:rsid w:val="00D9016F"/>
    <w:rsid w:val="00D90810"/>
    <w:rsid w:val="00D90AC5"/>
    <w:rsid w:val="00D95149"/>
    <w:rsid w:val="00D9698F"/>
    <w:rsid w:val="00DA1B86"/>
    <w:rsid w:val="00DA3B25"/>
    <w:rsid w:val="00DA5C62"/>
    <w:rsid w:val="00DA6920"/>
    <w:rsid w:val="00DB2033"/>
    <w:rsid w:val="00DB565C"/>
    <w:rsid w:val="00DB57DC"/>
    <w:rsid w:val="00DC0ED5"/>
    <w:rsid w:val="00DC2FB2"/>
    <w:rsid w:val="00DC309B"/>
    <w:rsid w:val="00DC40F3"/>
    <w:rsid w:val="00DC6138"/>
    <w:rsid w:val="00DC679F"/>
    <w:rsid w:val="00DC7710"/>
    <w:rsid w:val="00DD1E26"/>
    <w:rsid w:val="00DD52C7"/>
    <w:rsid w:val="00DD606E"/>
    <w:rsid w:val="00DD65CF"/>
    <w:rsid w:val="00DE224D"/>
    <w:rsid w:val="00DE4CB9"/>
    <w:rsid w:val="00DE5EBC"/>
    <w:rsid w:val="00DE7854"/>
    <w:rsid w:val="00DF3494"/>
    <w:rsid w:val="00DF7206"/>
    <w:rsid w:val="00E0344A"/>
    <w:rsid w:val="00E03D72"/>
    <w:rsid w:val="00E05BC6"/>
    <w:rsid w:val="00E05FE1"/>
    <w:rsid w:val="00E0634B"/>
    <w:rsid w:val="00E0647E"/>
    <w:rsid w:val="00E076A0"/>
    <w:rsid w:val="00E07EA4"/>
    <w:rsid w:val="00E16AA9"/>
    <w:rsid w:val="00E206EF"/>
    <w:rsid w:val="00E20C15"/>
    <w:rsid w:val="00E23524"/>
    <w:rsid w:val="00E24B5C"/>
    <w:rsid w:val="00E306F4"/>
    <w:rsid w:val="00E33B11"/>
    <w:rsid w:val="00E35034"/>
    <w:rsid w:val="00E35636"/>
    <w:rsid w:val="00E4355B"/>
    <w:rsid w:val="00E436CA"/>
    <w:rsid w:val="00E44052"/>
    <w:rsid w:val="00E4412D"/>
    <w:rsid w:val="00E46296"/>
    <w:rsid w:val="00E55F02"/>
    <w:rsid w:val="00E56AA2"/>
    <w:rsid w:val="00E65ADF"/>
    <w:rsid w:val="00E73379"/>
    <w:rsid w:val="00E760C5"/>
    <w:rsid w:val="00E762F9"/>
    <w:rsid w:val="00E820A9"/>
    <w:rsid w:val="00E82642"/>
    <w:rsid w:val="00E831E6"/>
    <w:rsid w:val="00E8586F"/>
    <w:rsid w:val="00E90B51"/>
    <w:rsid w:val="00E921C3"/>
    <w:rsid w:val="00E949DD"/>
    <w:rsid w:val="00E95379"/>
    <w:rsid w:val="00E95D76"/>
    <w:rsid w:val="00E9678E"/>
    <w:rsid w:val="00EA1E6A"/>
    <w:rsid w:val="00EA2F43"/>
    <w:rsid w:val="00EB3FEF"/>
    <w:rsid w:val="00EC022B"/>
    <w:rsid w:val="00EC0D3C"/>
    <w:rsid w:val="00EC21CA"/>
    <w:rsid w:val="00EC2FAA"/>
    <w:rsid w:val="00EC3C9B"/>
    <w:rsid w:val="00EC3EDE"/>
    <w:rsid w:val="00EC63A5"/>
    <w:rsid w:val="00ED4073"/>
    <w:rsid w:val="00EE4BFC"/>
    <w:rsid w:val="00EE6103"/>
    <w:rsid w:val="00EF058C"/>
    <w:rsid w:val="00EF0F6E"/>
    <w:rsid w:val="00F01476"/>
    <w:rsid w:val="00F032E7"/>
    <w:rsid w:val="00F05F16"/>
    <w:rsid w:val="00F16A36"/>
    <w:rsid w:val="00F2142B"/>
    <w:rsid w:val="00F3158F"/>
    <w:rsid w:val="00F3552B"/>
    <w:rsid w:val="00F3623E"/>
    <w:rsid w:val="00F36A75"/>
    <w:rsid w:val="00F36EEF"/>
    <w:rsid w:val="00F3769C"/>
    <w:rsid w:val="00F40EDB"/>
    <w:rsid w:val="00F43207"/>
    <w:rsid w:val="00F46C4F"/>
    <w:rsid w:val="00F550E6"/>
    <w:rsid w:val="00F55F2A"/>
    <w:rsid w:val="00F61E21"/>
    <w:rsid w:val="00F61F9E"/>
    <w:rsid w:val="00F62705"/>
    <w:rsid w:val="00F65555"/>
    <w:rsid w:val="00F6632E"/>
    <w:rsid w:val="00F70C2D"/>
    <w:rsid w:val="00F70C5C"/>
    <w:rsid w:val="00F71CB6"/>
    <w:rsid w:val="00F73DC7"/>
    <w:rsid w:val="00F76131"/>
    <w:rsid w:val="00F76A19"/>
    <w:rsid w:val="00F77EB8"/>
    <w:rsid w:val="00F81561"/>
    <w:rsid w:val="00F82034"/>
    <w:rsid w:val="00F82806"/>
    <w:rsid w:val="00F91212"/>
    <w:rsid w:val="00F91501"/>
    <w:rsid w:val="00F96DB4"/>
    <w:rsid w:val="00F9721E"/>
    <w:rsid w:val="00FA17B5"/>
    <w:rsid w:val="00FA250B"/>
    <w:rsid w:val="00FA48FD"/>
    <w:rsid w:val="00FA5351"/>
    <w:rsid w:val="00FA73F5"/>
    <w:rsid w:val="00FA74C9"/>
    <w:rsid w:val="00FB0837"/>
    <w:rsid w:val="00FB5955"/>
    <w:rsid w:val="00FC1025"/>
    <w:rsid w:val="00FC17B1"/>
    <w:rsid w:val="00FC21F6"/>
    <w:rsid w:val="00FC339E"/>
    <w:rsid w:val="00FC60FD"/>
    <w:rsid w:val="00FC64B9"/>
    <w:rsid w:val="00FC6C06"/>
    <w:rsid w:val="00FD052D"/>
    <w:rsid w:val="00FE463C"/>
    <w:rsid w:val="00FF10D9"/>
    <w:rsid w:val="00FF3CC3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30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9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lad-zakonov.narod.ru/gost/G23457-86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klad-zakonov.narod.ru/gost/Gr51256-99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lad-zakonov.narod.ru/gost/Gr52290-2004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klad-zakonov.narod.ru/gost/G10807-78.htm" TargetMode="External"/><Relationship Id="rId10" Type="http://schemas.openxmlformats.org/officeDocument/2006/relationships/hyperlink" Target="http://sklad-zakonov.narod.ru/gost/Gr52282-2004.htm" TargetMode="External"/><Relationship Id="rId4" Type="http://schemas.openxmlformats.org/officeDocument/2006/relationships/hyperlink" Target="http://sklad-zakonov.narod.ru/index.html" TargetMode="External"/><Relationship Id="rId9" Type="http://schemas.openxmlformats.org/officeDocument/2006/relationships/hyperlink" Target="http://sklad-zakonov.narod.ru/gost/Gr52289-2004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3072</Words>
  <Characters>17515</Characters>
  <Application>Microsoft Office Word</Application>
  <DocSecurity>0</DocSecurity>
  <Lines>145</Lines>
  <Paragraphs>41</Paragraphs>
  <ScaleCrop>false</ScaleCrop>
  <Company>школа</Company>
  <LinksUpToDate>false</LinksUpToDate>
  <CharactersWithSpaces>20546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информатика</cp:lastModifiedBy>
  <cp:revision>2</cp:revision>
  <dcterms:created xsi:type="dcterms:W3CDTF">2010-11-29T06:09:00Z</dcterms:created>
  <dcterms:modified xsi:type="dcterms:W3CDTF">2010-11-29T06:10:00Z</dcterms:modified>
</cp:coreProperties>
</file>